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968" w14:textId="77777777" w:rsidR="00495C58" w:rsidRDefault="00495C58">
      <w:pPr>
        <w:widowControl w:val="0"/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00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002"/>
      </w:tblGrid>
      <w:tr w:rsidR="00495C58" w14:paraId="526661E6" w14:textId="77777777">
        <w:trPr>
          <w:trHeight w:val="1640"/>
          <w:jc w:val="center"/>
        </w:trPr>
        <w:tc>
          <w:tcPr>
            <w:tcW w:w="9002" w:type="dxa"/>
            <w:vAlign w:val="center"/>
          </w:tcPr>
          <w:p w14:paraId="7E73CDFA" w14:textId="77777777" w:rsidR="00495C58" w:rsidRDefault="00495C58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</w:pPr>
          </w:p>
          <w:p w14:paraId="3BB1F21F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</w:pPr>
            <w:proofErr w:type="spellStart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>Historia</w:t>
            </w:r>
            <w:proofErr w:type="spellEnd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>Europeana</w:t>
            </w:r>
            <w:proofErr w:type="spellEnd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>, z. s.</w:t>
            </w:r>
          </w:p>
          <w:p w14:paraId="34A2644E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 xml:space="preserve">ve spolupráci s </w:t>
            </w:r>
          </w:p>
          <w:p w14:paraId="54EEE465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</w:rPr>
              <w:t xml:space="preserve">Historickým ústavem Filozofické fakulty Masarykovy univerzity </w:t>
            </w:r>
          </w:p>
          <w:p w14:paraId="6BBCCB48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a</w:t>
            </w:r>
          </w:p>
          <w:p w14:paraId="44CF8C22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  <w:highlight w:val="white"/>
              </w:rPr>
              <w:t>Maticí moravskou</w:t>
            </w:r>
          </w:p>
          <w:p w14:paraId="693FBB4E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si vás dovoluje pozvat na</w:t>
            </w:r>
          </w:p>
          <w:p w14:paraId="4D01A010" w14:textId="77777777" w:rsidR="00495C58" w:rsidRDefault="00495C58">
            <w:pPr>
              <w:widowControl w:val="0"/>
              <w:spacing w:after="0" w:line="360" w:lineRule="auto"/>
              <w:rPr>
                <w:rFonts w:ascii="Cambria Math" w:eastAsia="Cambria Math" w:hAnsi="Cambria Math" w:cs="Cambria Math"/>
                <w:sz w:val="24"/>
                <w:szCs w:val="24"/>
              </w:rPr>
            </w:pPr>
          </w:p>
        </w:tc>
      </w:tr>
      <w:tr w:rsidR="00495C58" w14:paraId="79601296" w14:textId="77777777">
        <w:trPr>
          <w:trHeight w:val="4420"/>
          <w:jc w:val="center"/>
        </w:trPr>
        <w:tc>
          <w:tcPr>
            <w:tcW w:w="9002" w:type="dxa"/>
            <w:vAlign w:val="center"/>
          </w:tcPr>
          <w:p w14:paraId="3CC69776" w14:textId="77777777" w:rsidR="00495C58" w:rsidRDefault="00000000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dvanáctý ročník mezinárodní doktorandské vědecké konference</w:t>
            </w:r>
          </w:p>
          <w:p w14:paraId="29AD5AB7" w14:textId="77777777" w:rsidR="00495C58" w:rsidRDefault="00495C58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b/>
                <w:sz w:val="24"/>
                <w:szCs w:val="24"/>
              </w:rPr>
            </w:pPr>
          </w:p>
          <w:p w14:paraId="7A7DF7F1" w14:textId="77777777" w:rsidR="00495C58" w:rsidRDefault="00495C58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b/>
                <w:sz w:val="24"/>
                <w:szCs w:val="24"/>
              </w:rPr>
            </w:pPr>
          </w:p>
          <w:p w14:paraId="4D9DD41B" w14:textId="77777777" w:rsidR="00495C58" w:rsidRDefault="00000000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sz w:val="56"/>
                <w:szCs w:val="56"/>
              </w:rPr>
            </w:pPr>
            <w:r>
              <w:rPr>
                <w:rFonts w:ascii="Cambria Math" w:eastAsia="Cambria Math" w:hAnsi="Cambria Math" w:cs="Cambria Math"/>
                <w:b/>
                <w:color w:val="365F91"/>
                <w:sz w:val="56"/>
                <w:szCs w:val="56"/>
              </w:rPr>
              <w:t>Promýšlet Evropu dvacátého století</w:t>
            </w:r>
            <w:r>
              <w:rPr>
                <w:rFonts w:ascii="Cambria Math" w:eastAsia="Cambria Math" w:hAnsi="Cambria Math" w:cs="Cambria Math"/>
                <w:color w:val="365F91"/>
                <w:sz w:val="56"/>
                <w:szCs w:val="56"/>
              </w:rPr>
              <w:t>:</w:t>
            </w:r>
          </w:p>
          <w:p w14:paraId="3ADEFDE1" w14:textId="77777777" w:rsidR="00495C58" w:rsidRDefault="00495C58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sz w:val="40"/>
                <w:szCs w:val="40"/>
              </w:rPr>
            </w:pPr>
          </w:p>
          <w:p w14:paraId="17BE7410" w14:textId="77777777" w:rsidR="00495C58" w:rsidRDefault="00000000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color w:val="365F91"/>
                <w:sz w:val="52"/>
                <w:szCs w:val="52"/>
              </w:rPr>
            </w:pPr>
            <w:r>
              <w:rPr>
                <w:rFonts w:ascii="Cambria Math" w:eastAsia="Cambria Math" w:hAnsi="Cambria Math" w:cs="Cambria Math"/>
                <w:color w:val="365F91"/>
                <w:sz w:val="52"/>
                <w:szCs w:val="52"/>
              </w:rPr>
              <w:t xml:space="preserve">Dějiny interpretované a </w:t>
            </w:r>
            <w:proofErr w:type="spellStart"/>
            <w:r>
              <w:rPr>
                <w:rFonts w:ascii="Cambria Math" w:eastAsia="Cambria Math" w:hAnsi="Cambria Math" w:cs="Cambria Math"/>
                <w:color w:val="365F91"/>
                <w:sz w:val="52"/>
                <w:szCs w:val="52"/>
              </w:rPr>
              <w:t>instrumentalizované</w:t>
            </w:r>
            <w:proofErr w:type="spellEnd"/>
          </w:p>
          <w:p w14:paraId="00773CB1" w14:textId="77777777" w:rsidR="00495C58" w:rsidRDefault="00495C58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color w:val="365F91"/>
                <w:sz w:val="44"/>
                <w:szCs w:val="44"/>
              </w:rPr>
            </w:pPr>
          </w:p>
        </w:tc>
      </w:tr>
      <w:tr w:rsidR="00495C58" w14:paraId="3AA05760" w14:textId="77777777">
        <w:trPr>
          <w:trHeight w:val="4520"/>
          <w:jc w:val="center"/>
        </w:trPr>
        <w:tc>
          <w:tcPr>
            <w:tcW w:w="9002" w:type="dxa"/>
            <w:vAlign w:val="center"/>
          </w:tcPr>
          <w:p w14:paraId="75B5FED9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která proběhne</w:t>
            </w:r>
          </w:p>
          <w:p w14:paraId="61FEC809" w14:textId="77777777" w:rsidR="00495C58" w:rsidRDefault="00495C58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</w:p>
          <w:p w14:paraId="064CEF31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CC0000"/>
                <w:sz w:val="48"/>
                <w:szCs w:val="48"/>
              </w:rPr>
            </w:pPr>
            <w:r>
              <w:rPr>
                <w:rFonts w:ascii="Cambria Math" w:eastAsia="Cambria Math" w:hAnsi="Cambria Math" w:cs="Cambria Math"/>
                <w:b/>
                <w:color w:val="CC0000"/>
                <w:sz w:val="48"/>
                <w:szCs w:val="48"/>
              </w:rPr>
              <w:t xml:space="preserve">10. a 11. listopadu 2025 v Brně </w:t>
            </w:r>
          </w:p>
          <w:p w14:paraId="5080F02F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sz w:val="28"/>
                <w:szCs w:val="28"/>
              </w:rPr>
              <w:t>v prostorách velkého zasedacího sálu Jihomoravského kraje,</w:t>
            </w:r>
          </w:p>
          <w:p w14:paraId="7D8B1C8D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sz w:val="28"/>
                <w:szCs w:val="28"/>
              </w:rPr>
              <w:t>Žerotínovo náměstí 449/3</w:t>
            </w:r>
          </w:p>
          <w:p w14:paraId="5CD3597D" w14:textId="77777777" w:rsidR="00495C58" w:rsidRDefault="00495C58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8"/>
                <w:szCs w:val="28"/>
              </w:rPr>
            </w:pPr>
          </w:p>
          <w:p w14:paraId="331CEB73" w14:textId="77777777" w:rsidR="00495C58" w:rsidRDefault="00495C58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32"/>
                <w:szCs w:val="32"/>
              </w:rPr>
            </w:pPr>
          </w:p>
          <w:p w14:paraId="778168D9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  <w:u w:val="single"/>
              </w:rPr>
            </w:pPr>
            <w:r>
              <w:rPr>
                <w:rFonts w:ascii="Cambria Math" w:eastAsia="Cambria Math" w:hAnsi="Cambria Math" w:cs="Cambria Math"/>
                <w:sz w:val="28"/>
                <w:szCs w:val="28"/>
              </w:rPr>
              <w:t>Aktuální informace na</w:t>
            </w:r>
            <w:r>
              <w:rPr>
                <w:rFonts w:ascii="Cambria Math" w:eastAsia="Cambria Math" w:hAnsi="Cambria Math" w:cs="Cambria Math"/>
                <w:color w:val="1F497D"/>
                <w:sz w:val="28"/>
                <w:szCs w:val="28"/>
              </w:rPr>
              <w:t xml:space="preserve">: </w:t>
            </w:r>
            <w:hyperlink r:id="rId8">
              <w:r>
                <w:rPr>
                  <w:rFonts w:ascii="Cambria Math" w:eastAsia="Cambria Math" w:hAnsi="Cambria Math" w:cs="Cambria Math"/>
                  <w:b/>
                  <w:color w:val="1F497D"/>
                  <w:sz w:val="28"/>
                  <w:szCs w:val="28"/>
                  <w:u w:val="single"/>
                </w:rPr>
                <w:t>www.historiaeuropeana.eu</w:t>
              </w:r>
            </w:hyperlink>
            <w:r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  <w:u w:val="single"/>
              </w:rPr>
              <w:t xml:space="preserve"> </w:t>
            </w:r>
          </w:p>
        </w:tc>
      </w:tr>
      <w:tr w:rsidR="00495C58" w14:paraId="57526AA6" w14:textId="77777777">
        <w:trPr>
          <w:trHeight w:val="500"/>
          <w:jc w:val="center"/>
        </w:trPr>
        <w:tc>
          <w:tcPr>
            <w:tcW w:w="9002" w:type="dxa"/>
            <w:vAlign w:val="center"/>
          </w:tcPr>
          <w:p w14:paraId="3444D22C" w14:textId="77777777" w:rsidR="00495C58" w:rsidRDefault="00495C58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0"/>
                <w:szCs w:val="20"/>
              </w:rPr>
            </w:pPr>
          </w:p>
          <w:p w14:paraId="4F3FA2B9" w14:textId="77777777" w:rsidR="00495C58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0"/>
                <w:szCs w:val="20"/>
              </w:rPr>
            </w:pPr>
            <w:r>
              <w:rPr>
                <w:rFonts w:ascii="Cambria Math" w:eastAsia="Cambria Math" w:hAnsi="Cambria Math" w:cs="Cambria Math"/>
                <w:b/>
                <w:sz w:val="20"/>
                <w:szCs w:val="20"/>
              </w:rPr>
              <w:t>Za podpory a spolupráce:</w:t>
            </w:r>
          </w:p>
        </w:tc>
      </w:tr>
    </w:tbl>
    <w:p w14:paraId="0FD23B2C" w14:textId="77777777" w:rsidR="00495C58" w:rsidRDefault="00000000">
      <w:pPr>
        <w:rPr>
          <w:rFonts w:ascii="Cambria Math" w:eastAsia="Cambria Math" w:hAnsi="Cambria Math" w:cs="Cambria Math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C68EE64" wp14:editId="408E4C18">
            <wp:simplePos x="0" y="0"/>
            <wp:positionH relativeFrom="column">
              <wp:posOffset>4547235</wp:posOffset>
            </wp:positionH>
            <wp:positionV relativeFrom="paragraph">
              <wp:posOffset>433705</wp:posOffset>
            </wp:positionV>
            <wp:extent cx="1579880" cy="258445"/>
            <wp:effectExtent l="0" t="0" r="0" b="0"/>
            <wp:wrapSquare wrapText="bothSides" distT="0" distB="0" distL="0" distR="0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4830" t="35403" r="3961" b="34563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258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E09FF6C" wp14:editId="5098AFBF">
            <wp:simplePos x="0" y="0"/>
            <wp:positionH relativeFrom="column">
              <wp:posOffset>-106678</wp:posOffset>
            </wp:positionH>
            <wp:positionV relativeFrom="paragraph">
              <wp:posOffset>358775</wp:posOffset>
            </wp:positionV>
            <wp:extent cx="1076325" cy="332740"/>
            <wp:effectExtent l="0" t="0" r="0" b="0"/>
            <wp:wrapSquare wrapText="bothSides" distT="0" distB="0" distL="114300" distR="114300"/>
            <wp:docPr id="17" name="image7.png" descr="historia_europeana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historia_europeana_logo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32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C9B003E" wp14:editId="3164F36F">
            <wp:simplePos x="0" y="0"/>
            <wp:positionH relativeFrom="column">
              <wp:posOffset>2628265</wp:posOffset>
            </wp:positionH>
            <wp:positionV relativeFrom="paragraph">
              <wp:posOffset>309880</wp:posOffset>
            </wp:positionV>
            <wp:extent cx="546100" cy="498475"/>
            <wp:effectExtent l="0" t="0" r="0" b="0"/>
            <wp:wrapSquare wrapText="bothSides" distT="0" distB="0" distL="114300" distR="114300"/>
            <wp:docPr id="19" name="image2.png" descr="C:\Users\Lenka\Documents\Vlastní dokumenty\konference\OS Historia Europeana\WEB\logo matic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Lenka\Documents\Vlastní dokumenty\konference\OS Historia Europeana\WEB\logo matice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9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8DBC9E9" wp14:editId="72DDA84A">
            <wp:simplePos x="0" y="0"/>
            <wp:positionH relativeFrom="column">
              <wp:posOffset>3234690</wp:posOffset>
            </wp:positionH>
            <wp:positionV relativeFrom="paragraph">
              <wp:posOffset>239395</wp:posOffset>
            </wp:positionV>
            <wp:extent cx="1198880" cy="653415"/>
            <wp:effectExtent l="0" t="0" r="0" b="0"/>
            <wp:wrapSquare wrapText="bothSides" distT="0" distB="0" distL="114300" distR="114300"/>
            <wp:docPr id="14" name="image8.png" descr="C:\Users\tomaskova\Desktop\muni-celynap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:\Users\tomaskova\Desktop\muni-celynapis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653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3C8E0503" wp14:editId="2F630DBF">
            <wp:simplePos x="0" y="0"/>
            <wp:positionH relativeFrom="column">
              <wp:posOffset>1170940</wp:posOffset>
            </wp:positionH>
            <wp:positionV relativeFrom="paragraph">
              <wp:posOffset>327660</wp:posOffset>
            </wp:positionV>
            <wp:extent cx="1411605" cy="617220"/>
            <wp:effectExtent l="0" t="0" r="0" b="0"/>
            <wp:wrapSquare wrapText="bothSides" distT="0" distB="0" distL="114300" distR="114300"/>
            <wp:docPr id="20" name="image10.png" descr="C:\Users\tomaskova\Desktop\muni-system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C:\Users\tomaskova\Desktop\muni-system1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617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34CACC" w14:textId="77777777" w:rsidR="00495C58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lastRenderedPageBreak/>
        <w:t>Dvanáctý ročník konference Promýšlet Evropu 20. století, který se uskuteční ve dnech 10. a 11. listopadu 2025, bude letos věnován tématu spjatému s historickou vědou již od jejích počátků.</w:t>
      </w:r>
    </w:p>
    <w:p w14:paraId="7754B658" w14:textId="77777777" w:rsidR="00495C58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Dějiny a minulost se stávaly předmětem </w:t>
      </w:r>
      <w:r>
        <w:rPr>
          <w:rFonts w:ascii="Cambria Math" w:eastAsia="Cambria Math" w:hAnsi="Cambria Math" w:cs="Cambria Math"/>
          <w:b/>
          <w:sz w:val="24"/>
          <w:szCs w:val="24"/>
        </w:rPr>
        <w:t>interpretace a instrumentalizace</w:t>
      </w:r>
      <w:r>
        <w:rPr>
          <w:rFonts w:ascii="Cambria Math" w:eastAsia="Cambria Math" w:hAnsi="Cambria Math" w:cs="Cambria Math"/>
          <w:sz w:val="24"/>
          <w:szCs w:val="24"/>
        </w:rPr>
        <w:t xml:space="preserve"> již od starověku, kdy se mísily s legendami a mýty se záměrem legitimizovat činy a moc vládců a především zanechat “věčný odkaz”. Moderní historiografie chápe interpretaci dosažených poznatků na základě kritické analýzy pramenů jako jednu z neoddělitelných částí historického výzkumu, v minulých stoletích však interpretace často podléhala potřebám vznikajících národů a případně vládnoucích režimů a jejich ideologií.</w:t>
      </w:r>
    </w:p>
    <w:p w14:paraId="07E43DB1" w14:textId="77777777" w:rsidR="00495C58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Na letošním </w:t>
      </w:r>
      <w:r>
        <w:rPr>
          <w:rFonts w:ascii="Cambria Math" w:eastAsia="Cambria Math" w:hAnsi="Cambria Math" w:cs="Cambria Math"/>
          <w:b/>
          <w:sz w:val="24"/>
          <w:szCs w:val="24"/>
        </w:rPr>
        <w:t xml:space="preserve">dvanáctém </w:t>
      </w:r>
      <w:r>
        <w:rPr>
          <w:rFonts w:ascii="Cambria Math" w:eastAsia="Cambria Math" w:hAnsi="Cambria Math" w:cs="Cambria Math"/>
          <w:sz w:val="24"/>
          <w:szCs w:val="24"/>
        </w:rPr>
        <w:t xml:space="preserve">ročníku konference bychom se chtěli zaobírat právě otázkami výkladu dějin a jeho vývoje v čase. Zaměřit se můžeme jak na změny v tázání, které naše věda v moderní éře prodělala, tak i na metody, které používala a stále používá ve snaze dosáhnout odpovědí. Především 20. století koneckonců přineslo hned několik “vln” nových konceptuálních přístupů k tomu, co to dějiny vůbec jsou, jak na ně nahlížet a jakým způsobem je </w:t>
      </w:r>
      <w:proofErr w:type="gramStart"/>
      <w:r>
        <w:rPr>
          <w:rFonts w:ascii="Cambria Math" w:eastAsia="Cambria Math" w:hAnsi="Cambria Math" w:cs="Cambria Math"/>
          <w:sz w:val="24"/>
          <w:szCs w:val="24"/>
        </w:rPr>
        <w:t>zkoumat - od</w:t>
      </w:r>
      <w:proofErr w:type="gramEnd"/>
      <w:r>
        <w:rPr>
          <w:rFonts w:ascii="Cambria Math" w:eastAsia="Cambria Math" w:hAnsi="Cambria Math" w:cs="Cambria Math"/>
          <w:sz w:val="24"/>
          <w:szCs w:val="24"/>
        </w:rPr>
        <w:t xml:space="preserve"> klasického pozitivismu přes spory o “smysl dějin” až k postmoderní dekonstrukci klasického pojetí historie.</w:t>
      </w:r>
    </w:p>
    <w:p w14:paraId="5A1F5C2E" w14:textId="3FA284C7" w:rsidR="00495C58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Vývoj moderní historiografie však kromě vnitřních proměn formovalo také prostředí, v němž se historici pohybovali. Sledovat lze bouřlivý nárůst nacionálních a etnických sentimentů, jejichž geneze v mnoha případech vyvrcholila v “konec starého světa” v ohních první světové války a vznik mnoha nových národních států. Záhy vyvstala potřeba ospravedlnit jejich existenci jak v mezinárodním prostoru, tak před mnohdy rozpačitým obyvatelstvem. Přirozeně se tak obracely do minulosti ve snaze dokázat své právo na existenci mnohdy právě skrze </w:t>
      </w:r>
      <w:proofErr w:type="gramStart"/>
      <w:r>
        <w:rPr>
          <w:rFonts w:ascii="Cambria Math" w:eastAsia="Cambria Math" w:hAnsi="Cambria Math" w:cs="Cambria Math"/>
          <w:sz w:val="24"/>
          <w:szCs w:val="24"/>
        </w:rPr>
        <w:t>dějiny - historie</w:t>
      </w:r>
      <w:proofErr w:type="gramEnd"/>
      <w:r>
        <w:rPr>
          <w:rFonts w:ascii="Cambria Math" w:eastAsia="Cambria Math" w:hAnsi="Cambria Math" w:cs="Cambria Math"/>
          <w:sz w:val="24"/>
          <w:szCs w:val="24"/>
        </w:rPr>
        <w:t xml:space="preserve"> a její výklady se tak v tomto procesu dostaly doslova do středu dění. Nabízí se v tomto směru srovnat tyto mnohdy velmi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vyosené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 a vzájemně nekompatibilní interpretace, které se měly srážet tak dlouho, dokud nedaly vzniknout dalšímu světovému konfliktu. V poválečných dějinách pak můžeme nahlížet na vzestup optiky třídního boje a marxistické dialektiky, která se v novém, bipolárním světě dostala k pomysl</w:t>
      </w:r>
      <w:r w:rsidR="00663C55">
        <w:rPr>
          <w:rFonts w:ascii="Cambria Math" w:eastAsia="Cambria Math" w:hAnsi="Cambria Math" w:cs="Cambria Math"/>
          <w:sz w:val="24"/>
          <w:szCs w:val="24"/>
        </w:rPr>
        <w:t>n</w:t>
      </w:r>
      <w:r>
        <w:rPr>
          <w:rFonts w:ascii="Cambria Math" w:eastAsia="Cambria Math" w:hAnsi="Cambria Math" w:cs="Cambria Math"/>
          <w:sz w:val="24"/>
          <w:szCs w:val="24"/>
        </w:rPr>
        <w:t>ému kormidlu. Nejen ve východním bloku je toto období spojené s politicky motivovaným či vynucovaným opomíjením, překrucováním či přímo cenzurou nevyhovujících témat.  Konec studené války v závěru století pak přinesl nejen opětovnou liberalizaci, ale i úvahy o “konci dějin”, jak je známe.</w:t>
      </w:r>
    </w:p>
    <w:p w14:paraId="0020495A" w14:textId="77777777" w:rsidR="00495C58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Po celou tuto dobu však zobrazování a interpretace dějin nebyla jen doménou profesních historiků, ale i spisovatelů, hudebníků, divadelníků, filmařů a koneckonců i laické veřejnosti. Přestože tyto pohledy mnohdy pracují mimo odborných poznatků i s mýty, legendami či tradovanými představami o minulosti, mají obvykle ve společnosti výrazně větší dosah než výsledky vědecké práce a rovněž si zaslouží naši pozornost.</w:t>
      </w:r>
    </w:p>
    <w:p w14:paraId="71AA9FBD" w14:textId="77777777" w:rsidR="00495C58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lastRenderedPageBreak/>
        <w:t>Při řešení této problematiky je možné využít různé přístupy a teoretické koncepty. Nebráníme se interdisciplinaritě. Příspěvky by měly být zaměřeny jak na širší ideové jevy, tak i na konkrétní události. Cílem výstupu by však nemělo být detailní zaobírání se úzce specifickými či regionálními tématy, ale naopak vystihnutí mezinárodního významu, či alespoň rozsáhlejšího kontextu a srovnání. Klademe důraz na obecnější souvislosti – budeme interpretovat příčiny, účely a následné dopady sledovaných fenoménů. Časově se zaměříme na období mezi počátkem 20. století a léty následujícími po rozpadu východního bloku.</w:t>
      </w:r>
    </w:p>
    <w:p w14:paraId="39BF0FA5" w14:textId="77777777" w:rsidR="00495C58" w:rsidRDefault="00000000">
      <w:pPr>
        <w:spacing w:after="0" w:line="360" w:lineRule="auto"/>
        <w:jc w:val="both"/>
        <w:rPr>
          <w:rFonts w:ascii="Cambria Math" w:eastAsia="Cambria Math" w:hAnsi="Cambria Math" w:cs="Cambria Math"/>
          <w:sz w:val="24"/>
          <w:szCs w:val="24"/>
        </w:rPr>
      </w:pPr>
      <w:r>
        <w:br w:type="page"/>
      </w:r>
    </w:p>
    <w:p w14:paraId="71C80A13" w14:textId="77777777" w:rsidR="00495C58" w:rsidRDefault="00495C58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8"/>
          <w:szCs w:val="28"/>
        </w:rPr>
      </w:pPr>
    </w:p>
    <w:p w14:paraId="223772A4" w14:textId="77777777" w:rsidR="00495C58" w:rsidRDefault="00000000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8"/>
          <w:szCs w:val="28"/>
        </w:rPr>
      </w:pPr>
      <w:r>
        <w:rPr>
          <w:rFonts w:ascii="Cambria Math" w:eastAsia="Cambria Math" w:hAnsi="Cambria Math" w:cs="Cambria Math"/>
          <w:b/>
          <w:color w:val="CC0000"/>
          <w:sz w:val="28"/>
          <w:szCs w:val="28"/>
        </w:rPr>
        <w:t>Harmonogram</w:t>
      </w:r>
    </w:p>
    <w:p w14:paraId="4435BB3F" w14:textId="77777777" w:rsidR="00495C58" w:rsidRDefault="00495C58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4"/>
          <w:szCs w:val="24"/>
        </w:rPr>
      </w:pPr>
    </w:p>
    <w:p w14:paraId="5C5D262B" w14:textId="77777777" w:rsidR="00495C58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Předběžný plánovaný program 1. dne konference 10. listopadu 2025</w:t>
      </w:r>
    </w:p>
    <w:p w14:paraId="7C8E27FE" w14:textId="77777777" w:rsidR="00495C58" w:rsidRDefault="00495C58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</w:p>
    <w:p w14:paraId="74A13C72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09:00 – 10:00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Prezence účastníků </w:t>
      </w:r>
    </w:p>
    <w:p w14:paraId="6898E74F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10:00 – 10:30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Slavnostní zahájení</w:t>
      </w:r>
    </w:p>
    <w:p w14:paraId="4CEEB251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10:30 – 13:20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Blok A </w:t>
      </w:r>
    </w:p>
    <w:p w14:paraId="7C3BA77C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13:20 – 14:00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Pauza na občerstvení</w:t>
      </w:r>
    </w:p>
    <w:p w14:paraId="17954CFD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14:00 – 18:00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Blok B </w:t>
      </w:r>
    </w:p>
    <w:p w14:paraId="55B75303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Od 18:30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Večeře a společné posezení </w:t>
      </w:r>
    </w:p>
    <w:p w14:paraId="74F87068" w14:textId="77777777" w:rsidR="00495C58" w:rsidRDefault="00495C58">
      <w:pPr>
        <w:spacing w:after="0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79FD2935" w14:textId="77777777" w:rsidR="00495C58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Předběžný plánovaný program 2. dne konference 11. listopadu 2025</w:t>
      </w:r>
    </w:p>
    <w:p w14:paraId="0022D7F6" w14:textId="77777777" w:rsidR="00495C58" w:rsidRDefault="00495C58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53C395AA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09:00 – 12:45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Blok C</w:t>
      </w:r>
    </w:p>
    <w:p w14:paraId="1151756D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12:45 – 14:30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Společný oběd</w:t>
      </w:r>
    </w:p>
    <w:p w14:paraId="7D129037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14:30 – 16:15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Blok D</w:t>
      </w:r>
    </w:p>
    <w:p w14:paraId="4C3381F8" w14:textId="77777777" w:rsidR="00495C58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16:20 – 16:30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Slavnostní ukončení</w:t>
      </w:r>
    </w:p>
    <w:p w14:paraId="6F0DE7D3" w14:textId="77777777" w:rsidR="00495C58" w:rsidRDefault="00495C58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</w:p>
    <w:p w14:paraId="0383769A" w14:textId="77777777" w:rsidR="00495C58" w:rsidRDefault="00495C58">
      <w:pPr>
        <w:spacing w:after="0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6569A99D" w14:textId="77777777" w:rsidR="00495C58" w:rsidRDefault="00000000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8"/>
          <w:szCs w:val="28"/>
        </w:rPr>
      </w:pPr>
      <w:r>
        <w:rPr>
          <w:rFonts w:ascii="Cambria Math" w:eastAsia="Cambria Math" w:hAnsi="Cambria Math" w:cs="Cambria Math"/>
          <w:b/>
          <w:color w:val="CC0000"/>
          <w:sz w:val="28"/>
          <w:szCs w:val="28"/>
        </w:rPr>
        <w:t>Organizační pokyny</w:t>
      </w:r>
    </w:p>
    <w:p w14:paraId="219CEAAB" w14:textId="77777777" w:rsidR="00495C58" w:rsidRDefault="00495C58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4"/>
          <w:szCs w:val="24"/>
        </w:rPr>
      </w:pPr>
    </w:p>
    <w:p w14:paraId="1BE3548D" w14:textId="77777777" w:rsidR="00495C58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Přihláška</w:t>
      </w:r>
    </w:p>
    <w:p w14:paraId="7B2F6210" w14:textId="77777777" w:rsidR="00495C58" w:rsidRDefault="00495C58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</w:p>
    <w:p w14:paraId="63D1EC88" w14:textId="77777777" w:rsidR="00495C58" w:rsidRDefault="00000000">
      <w:pPr>
        <w:widowControl w:val="0"/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>
        <w:rPr>
          <w:rFonts w:ascii="Cambria Math" w:eastAsia="Cambria Math" w:hAnsi="Cambria Math" w:cs="Cambria Math"/>
          <w:b/>
          <w:sz w:val="24"/>
          <w:szCs w:val="24"/>
        </w:rPr>
        <w:t xml:space="preserve">Termín odevzdání přihlášky: </w:t>
      </w:r>
      <w:r>
        <w:rPr>
          <w:rFonts w:ascii="Cambria Math" w:eastAsia="Cambria Math" w:hAnsi="Cambria Math" w:cs="Cambria Math"/>
          <w:b/>
          <w:color w:val="FF0000"/>
          <w:sz w:val="24"/>
          <w:szCs w:val="24"/>
        </w:rPr>
        <w:t>30. 10. 2025</w:t>
      </w:r>
    </w:p>
    <w:p w14:paraId="391E19C0" w14:textId="625DA1AF" w:rsidR="00BD2F92" w:rsidRDefault="00000000" w:rsidP="00BD2F92">
      <w:pPr>
        <w:widowControl w:val="0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BD2F92">
        <w:rPr>
          <w:rFonts w:ascii="Cambria Math" w:eastAsia="Cambria Math" w:hAnsi="Cambria Math" w:cs="Cambria Math"/>
          <w:sz w:val="24"/>
          <w:szCs w:val="24"/>
        </w:rPr>
        <w:t>Přihlášku můžete vyplnit na následujícím odkazu:</w:t>
      </w:r>
      <w:r w:rsidR="00BD2F92">
        <w:rPr>
          <w:rFonts w:ascii="Cambria Math" w:eastAsia="Cambria Math" w:hAnsi="Cambria Math" w:cs="Cambria Math"/>
          <w:b/>
          <w:sz w:val="24"/>
          <w:szCs w:val="24"/>
        </w:rPr>
        <w:t xml:space="preserve"> </w:t>
      </w:r>
      <w:hyperlink r:id="rId14" w:history="1">
        <w:r w:rsidR="00BD2F92" w:rsidRPr="00FD5A6B">
          <w:rPr>
            <w:rStyle w:val="Hypertextovprepojenie"/>
            <w:rFonts w:ascii="Cambria Math" w:eastAsia="Cambria Math" w:hAnsi="Cambria Math" w:cs="Cambria Math"/>
            <w:b/>
            <w:sz w:val="24"/>
            <w:szCs w:val="24"/>
          </w:rPr>
          <w:t>https://forms.gle/CuGyLB8DMsSEbtCd9</w:t>
        </w:r>
      </w:hyperlink>
    </w:p>
    <w:p w14:paraId="5734D850" w14:textId="49753FCF" w:rsidR="00495C58" w:rsidRPr="00BD2F92" w:rsidRDefault="00BD2F92" w:rsidP="00BD2F92">
      <w:pPr>
        <w:widowControl w:val="0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BD2F92">
        <w:rPr>
          <w:rFonts w:ascii="Cambria Math" w:eastAsia="Cambria Math" w:hAnsi="Cambria Math" w:cs="Cambria Math"/>
          <w:b/>
          <w:sz w:val="24"/>
          <w:szCs w:val="24"/>
        </w:rPr>
        <w:t xml:space="preserve"> </w:t>
      </w:r>
      <w:r w:rsidR="00000000" w:rsidRPr="00BD2F92">
        <w:rPr>
          <w:rFonts w:ascii="Cambria Math" w:eastAsia="Cambria Math" w:hAnsi="Cambria Math" w:cs="Cambria Math"/>
          <w:sz w:val="24"/>
          <w:szCs w:val="24"/>
        </w:rPr>
        <w:t>Zájemce o aktivní účast dává vyplněním přihlášky souhlas se shromažďováním, uchováním a zpracováním osobních údajů v souladu s nařízením Evropského parlamentu a Rady (EU) 2016/679 ze dne 27. dubna 2016.</w:t>
      </w:r>
    </w:p>
    <w:p w14:paraId="215B50DA" w14:textId="77777777" w:rsidR="00495C58" w:rsidRDefault="00495C58">
      <w:pPr>
        <w:widowControl w:val="0"/>
        <w:spacing w:after="0"/>
        <w:ind w:left="720"/>
        <w:jc w:val="both"/>
        <w:rPr>
          <w:sz w:val="24"/>
          <w:szCs w:val="24"/>
        </w:rPr>
      </w:pPr>
    </w:p>
    <w:p w14:paraId="4739823A" w14:textId="77777777" w:rsidR="00495C58" w:rsidRDefault="00495C58">
      <w:pPr>
        <w:widowControl w:val="0"/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0445CC68" w14:textId="77777777" w:rsidR="00495C58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Konferenční poplatek</w:t>
      </w:r>
    </w:p>
    <w:p w14:paraId="04BF6363" w14:textId="77777777" w:rsidR="00495C58" w:rsidRDefault="00495C58">
      <w:pPr>
        <w:widowControl w:val="0"/>
        <w:spacing w:after="0"/>
        <w:jc w:val="both"/>
        <w:rPr>
          <w:rFonts w:ascii="Cambria Math" w:eastAsia="Cambria Math" w:hAnsi="Cambria Math" w:cs="Cambria Math"/>
          <w:color w:val="365F91"/>
          <w:sz w:val="24"/>
          <w:szCs w:val="24"/>
        </w:rPr>
      </w:pPr>
    </w:p>
    <w:p w14:paraId="3D5489E2" w14:textId="77777777" w:rsidR="00495C58" w:rsidRDefault="00000000">
      <w:pPr>
        <w:widowControl w:val="0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rFonts w:ascii="Cambria Math" w:eastAsia="Cambria Math" w:hAnsi="Cambria Math" w:cs="Cambria Math"/>
          <w:b/>
          <w:sz w:val="24"/>
          <w:szCs w:val="24"/>
        </w:rPr>
        <w:t>Výše poplatku:</w:t>
      </w:r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b/>
          <w:color w:val="C00000"/>
          <w:sz w:val="24"/>
          <w:szCs w:val="24"/>
        </w:rPr>
        <w:t xml:space="preserve">500,- </w:t>
      </w:r>
      <w:r>
        <w:rPr>
          <w:rFonts w:ascii="Cambria Math" w:eastAsia="Cambria Math" w:hAnsi="Cambria Math" w:cs="Cambria Math"/>
          <w:b/>
          <w:sz w:val="24"/>
          <w:szCs w:val="24"/>
        </w:rPr>
        <w:t>Kč /</w:t>
      </w:r>
      <w:r>
        <w:rPr>
          <w:rFonts w:ascii="Cambria Math" w:eastAsia="Cambria Math" w:hAnsi="Cambria Math" w:cs="Cambria Math"/>
          <w:b/>
          <w:color w:val="C00000"/>
          <w:sz w:val="24"/>
          <w:szCs w:val="24"/>
        </w:rPr>
        <w:t xml:space="preserve">20 </w:t>
      </w:r>
      <w:r>
        <w:rPr>
          <w:rFonts w:ascii="Cambria Math" w:eastAsia="Cambria Math" w:hAnsi="Cambria Math" w:cs="Cambria Math"/>
          <w:b/>
          <w:sz w:val="24"/>
          <w:szCs w:val="24"/>
        </w:rPr>
        <w:t xml:space="preserve">EUR </w:t>
      </w:r>
      <w:r>
        <w:rPr>
          <w:rFonts w:ascii="Cambria Math" w:eastAsia="Cambria Math" w:hAnsi="Cambria Math" w:cs="Cambria Math"/>
          <w:sz w:val="24"/>
          <w:szCs w:val="24"/>
        </w:rPr>
        <w:t>(zahrnuje dvě hlavní jídla a občerstvení na akci)</w:t>
      </w:r>
    </w:p>
    <w:p w14:paraId="6F3A706D" w14:textId="77777777" w:rsidR="00495C58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b/>
          <w:sz w:val="24"/>
          <w:szCs w:val="24"/>
        </w:rPr>
        <w:t>Termín uhrazení konferenčního poplatku:</w:t>
      </w:r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b/>
          <w:color w:val="CC0000"/>
          <w:sz w:val="24"/>
          <w:szCs w:val="24"/>
        </w:rPr>
        <w:t>9.11. 2025</w:t>
      </w:r>
    </w:p>
    <w:p w14:paraId="2FF7F0D2" w14:textId="77777777" w:rsidR="00495C58" w:rsidRDefault="00000000">
      <w:pPr>
        <w:widowControl w:val="0"/>
        <w:spacing w:after="0"/>
        <w:ind w:left="72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Pro uhrazení konferenčního poplatku vyčkejte na potvrzení přijetí vaší přihlášky!</w:t>
      </w:r>
    </w:p>
    <w:p w14:paraId="55DE7F6E" w14:textId="77777777" w:rsidR="00495C58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Číslo účtu (CZ): </w:t>
      </w:r>
      <w:r>
        <w:rPr>
          <w:rFonts w:ascii="Cambria Math" w:eastAsia="Cambria Math" w:hAnsi="Cambria Math" w:cs="Cambria Math"/>
          <w:b/>
          <w:sz w:val="24"/>
          <w:szCs w:val="24"/>
        </w:rPr>
        <w:t>2200367834/2010</w:t>
      </w:r>
      <w:r>
        <w:rPr>
          <w:rFonts w:ascii="Cambria Math" w:eastAsia="Cambria Math" w:hAnsi="Cambria Math" w:cs="Cambria Math"/>
          <w:sz w:val="24"/>
          <w:szCs w:val="24"/>
        </w:rPr>
        <w:t xml:space="preserve"> (CZK)</w:t>
      </w:r>
    </w:p>
    <w:p w14:paraId="53CB8251" w14:textId="77777777" w:rsidR="00495C58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Číslo účtu (SK): </w:t>
      </w:r>
      <w:r>
        <w:rPr>
          <w:rFonts w:ascii="Cambria Math" w:eastAsia="Cambria Math" w:hAnsi="Cambria Math" w:cs="Cambria Math"/>
          <w:b/>
          <w:sz w:val="24"/>
          <w:szCs w:val="24"/>
        </w:rPr>
        <w:t>2200367834/8330</w:t>
      </w:r>
      <w:r>
        <w:rPr>
          <w:rFonts w:ascii="Cambria Math" w:eastAsia="Cambria Math" w:hAnsi="Cambria Math" w:cs="Cambria Math"/>
          <w:sz w:val="24"/>
          <w:szCs w:val="24"/>
        </w:rPr>
        <w:t xml:space="preserve"> (EUR) IBAN: </w:t>
      </w:r>
      <w:r>
        <w:rPr>
          <w:rFonts w:ascii="Cambria Math" w:eastAsia="Cambria Math" w:hAnsi="Cambria Math" w:cs="Cambria Math"/>
          <w:b/>
          <w:sz w:val="24"/>
          <w:szCs w:val="24"/>
        </w:rPr>
        <w:t>SK08 8330 0000 0022 0036 7834</w:t>
      </w:r>
    </w:p>
    <w:p w14:paraId="415331B8" w14:textId="77777777" w:rsidR="00495C58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Variabilní symbol: </w:t>
      </w:r>
      <w:r>
        <w:rPr>
          <w:rFonts w:ascii="Cambria Math" w:eastAsia="Cambria Math" w:hAnsi="Cambria Math" w:cs="Cambria Math"/>
          <w:b/>
          <w:sz w:val="24"/>
          <w:szCs w:val="24"/>
        </w:rPr>
        <w:t>bude upřesněn po přijetí vaší přihlášky.</w:t>
      </w:r>
    </w:p>
    <w:p w14:paraId="2FA746F2" w14:textId="77777777" w:rsidR="00495C58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 Math" w:eastAsia="Cambria Math" w:hAnsi="Cambria Math" w:cs="Cambria Math"/>
          <w:b/>
          <w:sz w:val="24"/>
          <w:szCs w:val="24"/>
        </w:rPr>
        <w:t>Nezapomeňte prosím vyplnit své jméno do kolonky Informace pro příjemce.</w:t>
      </w:r>
    </w:p>
    <w:p w14:paraId="3F59895B" w14:textId="77777777" w:rsidR="00495C58" w:rsidRDefault="00000000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sz w:val="24"/>
          <w:szCs w:val="24"/>
        </w:rPr>
      </w:pPr>
      <w:r>
        <w:br w:type="page"/>
      </w:r>
    </w:p>
    <w:p w14:paraId="68F740EC" w14:textId="77777777" w:rsidR="00495C58" w:rsidRDefault="00495C58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1F497D"/>
          <w:sz w:val="24"/>
          <w:szCs w:val="24"/>
        </w:rPr>
      </w:pPr>
    </w:p>
    <w:p w14:paraId="708287E8" w14:textId="77777777" w:rsidR="00495C58" w:rsidRDefault="00000000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1F497D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1F497D"/>
          <w:sz w:val="24"/>
          <w:szCs w:val="24"/>
        </w:rPr>
        <w:t>Požadavky na příspěvek</w:t>
      </w:r>
    </w:p>
    <w:p w14:paraId="5AA4B7E1" w14:textId="77777777" w:rsidR="00495C58" w:rsidRDefault="00495C58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1F497D"/>
          <w:sz w:val="24"/>
          <w:szCs w:val="24"/>
        </w:rPr>
      </w:pPr>
    </w:p>
    <w:p w14:paraId="7C2F2274" w14:textId="5422624A" w:rsidR="00495C58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rFonts w:ascii="Cambria Math" w:eastAsia="Cambria Math" w:hAnsi="Cambria Math" w:cs="Cambria Math"/>
          <w:b/>
          <w:sz w:val="24"/>
          <w:szCs w:val="24"/>
        </w:rPr>
        <w:t xml:space="preserve">Termín odevzdání příspěvku: </w:t>
      </w:r>
      <w:r>
        <w:rPr>
          <w:rFonts w:ascii="Cambria Math" w:eastAsia="Cambria Math" w:hAnsi="Cambria Math" w:cs="Cambria Math"/>
          <w:b/>
          <w:color w:val="CC0000"/>
          <w:sz w:val="24"/>
          <w:szCs w:val="24"/>
        </w:rPr>
        <w:t>31. 1. 202</w:t>
      </w:r>
      <w:r w:rsidR="004070D5">
        <w:rPr>
          <w:rFonts w:ascii="Cambria Math" w:eastAsia="Cambria Math" w:hAnsi="Cambria Math" w:cs="Cambria Math"/>
          <w:b/>
          <w:color w:val="CC0000"/>
          <w:sz w:val="24"/>
          <w:szCs w:val="24"/>
        </w:rPr>
        <w:t>6</w:t>
      </w:r>
    </w:p>
    <w:p w14:paraId="3749B5AD" w14:textId="77777777" w:rsidR="00495C58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Konference by měla být místem dialogu a předávání si zkušeností všech zúčastněných, proto považujeme za důležité, aby vystoupení byla stručná (limitem je </w:t>
      </w:r>
      <w:r>
        <w:rPr>
          <w:rFonts w:ascii="Cambria Math" w:eastAsia="Cambria Math" w:hAnsi="Cambria Math" w:cs="Cambria Math"/>
          <w:b/>
          <w:sz w:val="24"/>
          <w:szCs w:val="24"/>
        </w:rPr>
        <w:t>15 minut</w:t>
      </w:r>
      <w:r>
        <w:rPr>
          <w:rFonts w:ascii="Cambria Math" w:eastAsia="Cambria Math" w:hAnsi="Cambria Math" w:cs="Cambria Math"/>
          <w:sz w:val="24"/>
          <w:szCs w:val="24"/>
        </w:rPr>
        <w:t>) a srozumitelná.</w:t>
      </w:r>
    </w:p>
    <w:p w14:paraId="21CB794D" w14:textId="77777777" w:rsidR="00495C58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Jazyky konferenčního jednání budou </w:t>
      </w:r>
      <w:r>
        <w:rPr>
          <w:rFonts w:ascii="Cambria Math" w:eastAsia="Cambria Math" w:hAnsi="Cambria Math" w:cs="Cambria Math"/>
          <w:b/>
          <w:sz w:val="24"/>
          <w:szCs w:val="24"/>
        </w:rPr>
        <w:t>čeština, slovenština a angličtina</w:t>
      </w:r>
      <w:r>
        <w:rPr>
          <w:rFonts w:ascii="Cambria Math" w:eastAsia="Cambria Math" w:hAnsi="Cambria Math" w:cs="Cambria Math"/>
          <w:sz w:val="24"/>
          <w:szCs w:val="24"/>
        </w:rPr>
        <w:t xml:space="preserve">, z toho důvodu požadujeme, aby byly všechny přednesené příspěvky doprovázeny přehlednou vizuální </w:t>
      </w:r>
      <w:r>
        <w:rPr>
          <w:rFonts w:ascii="Cambria Math" w:eastAsia="Cambria Math" w:hAnsi="Cambria Math" w:cs="Cambria Math"/>
          <w:b/>
          <w:sz w:val="24"/>
          <w:szCs w:val="24"/>
        </w:rPr>
        <w:t>prezentací v angličtině</w:t>
      </w:r>
      <w:r>
        <w:rPr>
          <w:rFonts w:ascii="Cambria Math" w:eastAsia="Cambria Math" w:hAnsi="Cambria Math" w:cs="Cambria Math"/>
          <w:sz w:val="24"/>
          <w:szCs w:val="24"/>
        </w:rPr>
        <w:t>.</w:t>
      </w:r>
    </w:p>
    <w:p w14:paraId="15F95571" w14:textId="77777777" w:rsidR="00495C58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Výstupem z konference bude článek v monotematickém čísle recenzovaného periodika </w:t>
      </w:r>
      <w:hyperlink r:id="rId15">
        <w:r>
          <w:rPr>
            <w:rFonts w:ascii="Cambria Math" w:eastAsia="Cambria Math" w:hAnsi="Cambria Math" w:cs="Cambria Math"/>
            <w:color w:val="1155CC"/>
            <w:sz w:val="24"/>
            <w:szCs w:val="24"/>
            <w:u w:val="single"/>
          </w:rPr>
          <w:t xml:space="preserve">Studia </w:t>
        </w:r>
        <w:proofErr w:type="spellStart"/>
        <w:r>
          <w:rPr>
            <w:rFonts w:ascii="Cambria Math" w:eastAsia="Cambria Math" w:hAnsi="Cambria Math" w:cs="Cambria Math"/>
            <w:color w:val="1155CC"/>
            <w:sz w:val="24"/>
            <w:szCs w:val="24"/>
            <w:u w:val="single"/>
          </w:rPr>
          <w:t>historica</w:t>
        </w:r>
        <w:proofErr w:type="spellEnd"/>
        <w:r>
          <w:rPr>
            <w:rFonts w:ascii="Cambria Math" w:eastAsia="Cambria Math" w:hAnsi="Cambria Math" w:cs="Cambria Math"/>
            <w:color w:val="1155CC"/>
            <w:sz w:val="24"/>
            <w:szCs w:val="24"/>
            <w:u w:val="single"/>
          </w:rPr>
          <w:t xml:space="preserve"> Brunensia</w:t>
        </w:r>
      </w:hyperlink>
      <w:r>
        <w:rPr>
          <w:rFonts w:ascii="Cambria Math" w:eastAsia="Cambria Math" w:hAnsi="Cambria Math" w:cs="Cambria Math"/>
          <w:sz w:val="24"/>
          <w:szCs w:val="24"/>
        </w:rPr>
        <w:t xml:space="preserve"> indexovaného v EBSCO, SCOPUS, DOAJ a ERIH PLUS</w:t>
      </w:r>
    </w:p>
    <w:p w14:paraId="194F9B0F" w14:textId="77777777" w:rsidR="00495C58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Délka příspěvku do časopisu Studia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historica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 Brunensia by neměla přesahovat </w:t>
      </w:r>
      <w:r>
        <w:rPr>
          <w:rFonts w:ascii="Cambria Math" w:eastAsia="Cambria Math" w:hAnsi="Cambria Math" w:cs="Cambria Math"/>
          <w:b/>
          <w:sz w:val="24"/>
          <w:szCs w:val="24"/>
        </w:rPr>
        <w:t>35 normostran</w:t>
      </w:r>
      <w:r>
        <w:rPr>
          <w:rFonts w:ascii="Cambria Math" w:eastAsia="Cambria Math" w:hAnsi="Cambria Math" w:cs="Cambria Math"/>
          <w:sz w:val="24"/>
          <w:szCs w:val="24"/>
        </w:rPr>
        <w:t xml:space="preserve"> (včetně poznámek pod čarou, anotace, klíčových slov a seznamu literatury, tedy max. 70 000 znaků). Pokyny pro úpravu příspěvků (pravidla citování, bibliografické citace </w:t>
      </w:r>
      <w:proofErr w:type="gramStart"/>
      <w:r>
        <w:rPr>
          <w:rFonts w:ascii="Cambria Math" w:eastAsia="Cambria Math" w:hAnsi="Cambria Math" w:cs="Cambria Math"/>
          <w:sz w:val="24"/>
          <w:szCs w:val="24"/>
        </w:rPr>
        <w:t>a pod.</w:t>
      </w:r>
      <w:proofErr w:type="gramEnd"/>
      <w:r>
        <w:rPr>
          <w:rFonts w:ascii="Cambria Math" w:eastAsia="Cambria Math" w:hAnsi="Cambria Math" w:cs="Cambria Math"/>
          <w:sz w:val="24"/>
          <w:szCs w:val="24"/>
        </w:rPr>
        <w:t xml:space="preserve">) naleznete </w:t>
      </w:r>
      <w:hyperlink r:id="rId16">
        <w:r>
          <w:rPr>
            <w:rFonts w:ascii="Cambria Math" w:eastAsia="Cambria Math" w:hAnsi="Cambria Math" w:cs="Cambria Math"/>
            <w:b/>
            <w:color w:val="1155CC"/>
            <w:sz w:val="24"/>
            <w:szCs w:val="24"/>
            <w:u w:val="single"/>
          </w:rPr>
          <w:t>ZDE</w:t>
        </w:r>
      </w:hyperlink>
      <w:r>
        <w:rPr>
          <w:rFonts w:ascii="Cambria Math" w:eastAsia="Cambria Math" w:hAnsi="Cambria Math" w:cs="Cambria Math"/>
          <w:sz w:val="24"/>
          <w:szCs w:val="24"/>
        </w:rPr>
        <w:t>.</w:t>
      </w:r>
    </w:p>
    <w:p w14:paraId="1DFC3B1C" w14:textId="77777777" w:rsidR="00495C58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Každý příspěvek musí dodržovat parametry odborného textu (představení použité metodologie, archivních zdrojů, primární a sekundární literatury).</w:t>
      </w:r>
    </w:p>
    <w:p w14:paraId="70745E89" w14:textId="77777777" w:rsidR="00495C58" w:rsidRDefault="00000000">
      <w:pPr>
        <w:widowControl w:val="0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Příspěvek posílejte na </w:t>
      </w:r>
      <w:hyperlink r:id="rId17">
        <w:r>
          <w:rPr>
            <w:rFonts w:ascii="Cambria Math" w:eastAsia="Cambria Math" w:hAnsi="Cambria Math" w:cs="Cambria Math"/>
            <w:color w:val="0000FF"/>
            <w:sz w:val="24"/>
            <w:szCs w:val="24"/>
            <w:u w:val="single"/>
          </w:rPr>
          <w:t>historia.europeana</w:t>
        </w:r>
      </w:hyperlink>
      <w:hyperlink r:id="rId18">
        <w:r>
          <w:rPr>
            <w:rFonts w:ascii="Cambria Math" w:eastAsia="Cambria Math" w:hAnsi="Cambria Math" w:cs="Cambria Math"/>
            <w:color w:val="0000FF"/>
            <w:sz w:val="24"/>
            <w:szCs w:val="24"/>
            <w:highlight w:val="white"/>
            <w:u w:val="single"/>
          </w:rPr>
          <w:t>@phil.muni.cz</w:t>
        </w:r>
      </w:hyperlink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, do předmětu </w:t>
      </w:r>
      <w:r>
        <w:rPr>
          <w:rFonts w:ascii="Cambria Math" w:eastAsia="Cambria Math" w:hAnsi="Cambria Math" w:cs="Cambria Math"/>
          <w:sz w:val="24"/>
          <w:szCs w:val="24"/>
        </w:rPr>
        <w:t>e-mailu uveďte „příspěvek + jméno“.</w:t>
      </w:r>
    </w:p>
    <w:p w14:paraId="3B5BA4E8" w14:textId="77777777" w:rsidR="00495C58" w:rsidRDefault="00000000">
      <w:pPr>
        <w:widowControl w:val="0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Organizátoři si vyhrazují právo nepublikovat příspěvky, které nesplní dané požadavky. Dále upozorňujeme autory, že všechny příspěvky budou procházet interním a externím recenzním řízením.</w:t>
      </w:r>
    </w:p>
    <w:p w14:paraId="45D22AED" w14:textId="77777777" w:rsidR="00495C58" w:rsidRDefault="00495C58">
      <w:pPr>
        <w:widowControl w:val="0"/>
        <w:spacing w:after="0" w:line="240" w:lineRule="auto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2AC5AD5A" w14:textId="77777777" w:rsidR="00495C58" w:rsidRDefault="00495C58">
      <w:pPr>
        <w:widowControl w:val="0"/>
        <w:spacing w:after="0" w:line="240" w:lineRule="auto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7C9814B5" w14:textId="77777777" w:rsidR="00495C58" w:rsidRDefault="00000000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Kontaktní údaje</w:t>
      </w:r>
    </w:p>
    <w:p w14:paraId="715F5ABD" w14:textId="77777777" w:rsidR="00495C58" w:rsidRDefault="00495C58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</w:p>
    <w:p w14:paraId="7228EF95" w14:textId="77777777" w:rsidR="00495C58" w:rsidRDefault="00000000">
      <w:pPr>
        <w:widowControl w:val="0"/>
        <w:spacing w:after="0" w:line="360" w:lineRule="auto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Internetové stránky: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</w:r>
      <w:hyperlink r:id="rId19">
        <w:r>
          <w:rPr>
            <w:rFonts w:ascii="Cambria Math" w:eastAsia="Cambria Math" w:hAnsi="Cambria Math" w:cs="Cambria Math"/>
            <w:color w:val="1F497D"/>
            <w:sz w:val="24"/>
            <w:szCs w:val="24"/>
            <w:u w:val="single"/>
          </w:rPr>
          <w:t>www.historiaeuropeana.eu</w:t>
        </w:r>
      </w:hyperlink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</w:p>
    <w:p w14:paraId="277C08C3" w14:textId="77777777" w:rsidR="00495C58" w:rsidRDefault="00000000">
      <w:pPr>
        <w:widowControl w:val="0"/>
        <w:spacing w:after="0" w:line="360" w:lineRule="auto"/>
        <w:ind w:left="3544" w:hanging="2835"/>
      </w:pPr>
      <w:bookmarkStart w:id="1" w:name="_heading=h.30j0zll" w:colFirst="0" w:colLast="0"/>
      <w:bookmarkEnd w:id="1"/>
      <w:r>
        <w:rPr>
          <w:rFonts w:ascii="Cambria Math" w:eastAsia="Cambria Math" w:hAnsi="Cambria Math" w:cs="Cambria Math"/>
          <w:sz w:val="24"/>
          <w:szCs w:val="24"/>
        </w:rPr>
        <w:t xml:space="preserve">Kontaktní email: </w:t>
      </w:r>
      <w:r>
        <w:rPr>
          <w:rFonts w:ascii="Cambria Math" w:eastAsia="Cambria Math" w:hAnsi="Cambria Math" w:cs="Cambria Math"/>
          <w:sz w:val="24"/>
          <w:szCs w:val="24"/>
        </w:rPr>
        <w:tab/>
      </w:r>
      <w:hyperlink r:id="rId20">
        <w:r>
          <w:rPr>
            <w:rFonts w:ascii="Cambria Math" w:eastAsia="Cambria Math" w:hAnsi="Cambria Math" w:cs="Cambria Math"/>
            <w:color w:val="0000FF"/>
            <w:sz w:val="24"/>
            <w:szCs w:val="24"/>
            <w:u w:val="single"/>
          </w:rPr>
          <w:t>historia.europeana</w:t>
        </w:r>
      </w:hyperlink>
      <w:hyperlink r:id="rId21">
        <w:r>
          <w:rPr>
            <w:rFonts w:ascii="Cambria Math" w:eastAsia="Cambria Math" w:hAnsi="Cambria Math" w:cs="Cambria Math"/>
            <w:color w:val="0000FF"/>
            <w:sz w:val="24"/>
            <w:szCs w:val="24"/>
            <w:highlight w:val="white"/>
            <w:u w:val="single"/>
          </w:rPr>
          <w:t>@phil.muni.cz</w:t>
        </w:r>
      </w:hyperlink>
    </w:p>
    <w:sectPr w:rsidR="00495C58">
      <w:footerReference w:type="default" r:id="rId22"/>
      <w:pgSz w:w="11906" w:h="16838"/>
      <w:pgMar w:top="672" w:right="1134" w:bottom="851" w:left="1134" w:header="0" w:footer="27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CD23" w14:textId="77777777" w:rsidR="00451BAB" w:rsidRDefault="00451BAB">
      <w:pPr>
        <w:spacing w:after="0" w:line="240" w:lineRule="auto"/>
      </w:pPr>
      <w:r>
        <w:separator/>
      </w:r>
    </w:p>
  </w:endnote>
  <w:endnote w:type="continuationSeparator" w:id="0">
    <w:p w14:paraId="05194DF7" w14:textId="77777777" w:rsidR="00451BAB" w:rsidRDefault="0045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B33E8C3-F850-4C4B-AA09-39F08A0365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9CB72E8-5BA8-470D-851F-263C10AE356F}"/>
    <w:embedBold r:id="rId3" w:fontKey="{8FEB38BC-7286-47C9-8705-EECA7999CC32}"/>
    <w:embedItalic r:id="rId4" w:fontKey="{993504C4-D164-41B1-AAC3-135315C88E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30D4A26-1B28-4511-BE75-E30FB8170D4C}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6080DF9-0D8D-4F99-BBF8-FC6183A3C0B5}"/>
    <w:embedItalic r:id="rId7" w:fontKey="{4EBD5F0A-73D6-4708-AD8F-B05A0181602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AD1565F-8F63-4A11-A4BA-E5409CDD6FD0}"/>
    <w:embedBold r:id="rId9" w:fontKey="{60A046AC-80E7-4B43-A445-41D9B4321A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DAF5B8B-DA48-413B-ADB4-AA1843DA2A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6221" w14:textId="77777777" w:rsidR="00495C58" w:rsidRDefault="00000000">
    <w:pPr>
      <w:widowControl w:val="0"/>
      <w:spacing w:after="0"/>
    </w:pPr>
    <w:r>
      <w:rPr>
        <w:noProof/>
      </w:rPr>
      <w:drawing>
        <wp:inline distT="0" distB="0" distL="0" distR="0" wp14:anchorId="39E03917" wp14:editId="69FB090F">
          <wp:extent cx="1097915" cy="396240"/>
          <wp:effectExtent l="0" t="0" r="0" b="0"/>
          <wp:docPr id="16" name="image6.png" descr="historia_europeana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historia_europeana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7915" cy="396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E977F41" wp14:editId="74F9D5A6">
          <wp:simplePos x="0" y="0"/>
          <wp:positionH relativeFrom="column">
            <wp:posOffset>4495800</wp:posOffset>
          </wp:positionH>
          <wp:positionV relativeFrom="paragraph">
            <wp:posOffset>85090</wp:posOffset>
          </wp:positionV>
          <wp:extent cx="1579880" cy="258445"/>
          <wp:effectExtent l="0" t="0" r="0" b="0"/>
          <wp:wrapSquare wrapText="bothSides" distT="0" distB="0" distL="0" distR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4830" t="35381" r="3961" b="34545"/>
                  <a:stretch>
                    <a:fillRect/>
                  </a:stretch>
                </pic:blipFill>
                <pic:spPr>
                  <a:xfrm>
                    <a:off x="0" y="0"/>
                    <a:ext cx="1579880" cy="258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F8636DE" wp14:editId="4AF3BC56">
          <wp:simplePos x="0" y="0"/>
          <wp:positionH relativeFrom="column">
            <wp:posOffset>1304925</wp:posOffset>
          </wp:positionH>
          <wp:positionV relativeFrom="paragraph">
            <wp:posOffset>-3174</wp:posOffset>
          </wp:positionV>
          <wp:extent cx="1447165" cy="428625"/>
          <wp:effectExtent l="0" t="0" r="0" b="0"/>
          <wp:wrapSquare wrapText="bothSides" distT="0" distB="0" distL="114300" distR="114300"/>
          <wp:docPr id="18" name="image1.png" descr="C:\Users\tomaskova\Desktop\muni-system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tomaskova\Desktop\muni-system1.jpg"/>
                  <pic:cNvPicPr preferRelativeResize="0"/>
                </pic:nvPicPr>
                <pic:blipFill>
                  <a:blip r:embed="rId3"/>
                  <a:srcRect r="9533" b="33380"/>
                  <a:stretch>
                    <a:fillRect/>
                  </a:stretch>
                </pic:blipFill>
                <pic:spPr>
                  <a:xfrm>
                    <a:off x="0" y="0"/>
                    <a:ext cx="1447165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38D1958" wp14:editId="5712003C">
          <wp:simplePos x="0" y="0"/>
          <wp:positionH relativeFrom="column">
            <wp:posOffset>3535045</wp:posOffset>
          </wp:positionH>
          <wp:positionV relativeFrom="paragraph">
            <wp:posOffset>1905</wp:posOffset>
          </wp:positionV>
          <wp:extent cx="832485" cy="396240"/>
          <wp:effectExtent l="0" t="0" r="0" b="0"/>
          <wp:wrapSquare wrapText="bothSides" distT="0" distB="0" distL="114300" distR="114300"/>
          <wp:docPr id="11" name="image5.png" descr="C:\Users\hprymusova\AppData\Local\Microsoft\Windows\INetCache\Content.Word\muni-lg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hprymusova\AppData\Local\Microsoft\Windows\INetCache\Content.Word\muni-lg-rgb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2485" cy="396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89FF1A2" wp14:editId="5B05CD02">
          <wp:simplePos x="0" y="0"/>
          <wp:positionH relativeFrom="column">
            <wp:posOffset>2938780</wp:posOffset>
          </wp:positionH>
          <wp:positionV relativeFrom="paragraph">
            <wp:posOffset>-2539</wp:posOffset>
          </wp:positionV>
          <wp:extent cx="439420" cy="396240"/>
          <wp:effectExtent l="0" t="0" r="0" b="0"/>
          <wp:wrapSquare wrapText="bothSides" distT="0" distB="0" distL="114300" distR="114300"/>
          <wp:docPr id="15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420" cy="396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B15438" w14:textId="77777777" w:rsidR="00495C58" w:rsidRDefault="00495C58">
    <w:pPr>
      <w:widowControl w:val="0"/>
      <w:tabs>
        <w:tab w:val="center" w:pos="4536"/>
        <w:tab w:val="right" w:pos="9072"/>
      </w:tabs>
      <w:spacing w:after="261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D918" w14:textId="77777777" w:rsidR="00451BAB" w:rsidRDefault="00451BAB">
      <w:pPr>
        <w:spacing w:after="0" w:line="240" w:lineRule="auto"/>
      </w:pPr>
      <w:r>
        <w:separator/>
      </w:r>
    </w:p>
  </w:footnote>
  <w:footnote w:type="continuationSeparator" w:id="0">
    <w:p w14:paraId="13972578" w14:textId="77777777" w:rsidR="00451BAB" w:rsidRDefault="00451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74029"/>
    <w:multiLevelType w:val="multilevel"/>
    <w:tmpl w:val="5E78B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6F79A2"/>
    <w:multiLevelType w:val="multilevel"/>
    <w:tmpl w:val="0D165D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7169E5"/>
    <w:multiLevelType w:val="multilevel"/>
    <w:tmpl w:val="72E414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75285681">
    <w:abstractNumId w:val="0"/>
  </w:num>
  <w:num w:numId="2" w16cid:durableId="933515742">
    <w:abstractNumId w:val="2"/>
  </w:num>
  <w:num w:numId="3" w16cid:durableId="547182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C58"/>
    <w:rsid w:val="004070D5"/>
    <w:rsid w:val="00410632"/>
    <w:rsid w:val="00451BAB"/>
    <w:rsid w:val="00495C58"/>
    <w:rsid w:val="00663C55"/>
    <w:rsid w:val="00837E5B"/>
    <w:rsid w:val="00BD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D8025"/>
  <w15:docId w15:val="{166DFBAC-7DDE-4EFB-B82F-B4250C98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taChar">
    <w:name w:val="Päta Char"/>
    <w:link w:val="Pta"/>
    <w:uiPriority w:val="99"/>
    <w:qFormat/>
    <w:rsid w:val="00073DE2"/>
    <w:rPr>
      <w:rFonts w:ascii="Times New Roman" w:eastAsia="Arial Unicode MS" w:hAnsi="Times New Roman"/>
      <w:kern w:val="2"/>
      <w:sz w:val="24"/>
      <w:szCs w:val="24"/>
    </w:rPr>
  </w:style>
  <w:style w:type="character" w:customStyle="1" w:styleId="Internetovodkaz">
    <w:name w:val="Internetový odkaz"/>
    <w:unhideWhenUsed/>
    <w:rsid w:val="00073DE2"/>
    <w:rPr>
      <w:color w:val="0000FF"/>
      <w:u w:val="single"/>
    </w:rPr>
  </w:style>
  <w:style w:type="character" w:customStyle="1" w:styleId="apple-converted-space">
    <w:name w:val="apple-converted-space"/>
    <w:qFormat/>
    <w:rsid w:val="00073DE2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A94B49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A94B49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B861D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861D9"/>
    <w:rPr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B861D9"/>
    <w:rPr>
      <w:b/>
      <w:bCs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9C25F1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basedOn w:val="Predvolenpsmoodseku"/>
    <w:uiPriority w:val="99"/>
    <w:semiHidden/>
    <w:unhideWhenUsed/>
    <w:rsid w:val="00EB7D0A"/>
    <w:rPr>
      <w:color w:val="800080" w:themeColor="followedHyperlink"/>
      <w:u w:val="singl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A941E9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A941E9"/>
    <w:rPr>
      <w:vertAlign w:val="superscript"/>
    </w:rPr>
  </w:style>
  <w:style w:type="paragraph" w:customStyle="1" w:styleId="Nadpis">
    <w:name w:val="Nadpis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qFormat/>
    <w:pPr>
      <w:suppressLineNumbers/>
    </w:pPr>
    <w:rPr>
      <w:rFonts w:cs="Arial"/>
    </w:rPr>
  </w:style>
  <w:style w:type="paragraph" w:styleId="Odsekzoznamu">
    <w:name w:val="List Paragraph"/>
    <w:qFormat/>
    <w:rsid w:val="00073DE2"/>
    <w:pPr>
      <w:widowControl w:val="0"/>
      <w:spacing w:after="0" w:line="240" w:lineRule="auto"/>
      <w:ind w:left="720"/>
    </w:pPr>
    <w:rPr>
      <w:rFonts w:ascii="Times New Roman" w:eastAsia="Arial Unicode MS" w:hAnsi="Times New Roman"/>
      <w:kern w:val="2"/>
      <w:sz w:val="24"/>
      <w:szCs w:val="24"/>
      <w:lang w:eastAsia="cs-CZ"/>
    </w:rPr>
  </w:style>
  <w:style w:type="paragraph" w:styleId="Bezriadkovania">
    <w:name w:val="No Spacing"/>
    <w:uiPriority w:val="1"/>
    <w:qFormat/>
    <w:rsid w:val="00073DE2"/>
  </w:style>
  <w:style w:type="paragraph" w:customStyle="1" w:styleId="Zhlavazpat">
    <w:name w:val="Záhlaví a zápatí"/>
    <w:qFormat/>
  </w:style>
  <w:style w:type="paragraph" w:styleId="Pta">
    <w:name w:val="footer"/>
    <w:link w:val="PtaChar"/>
    <w:uiPriority w:val="99"/>
    <w:unhideWhenUsed/>
    <w:rsid w:val="00073DE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Arial Unicode MS" w:hAnsi="Times New Roman"/>
      <w:kern w:val="2"/>
      <w:sz w:val="24"/>
      <w:szCs w:val="24"/>
      <w:lang w:eastAsia="cs-CZ"/>
    </w:rPr>
  </w:style>
  <w:style w:type="paragraph" w:styleId="Textbubliny">
    <w:name w:val="Balloon Text"/>
    <w:link w:val="TextbublinyChar"/>
    <w:uiPriority w:val="99"/>
    <w:semiHidden/>
    <w:unhideWhenUsed/>
    <w:qFormat/>
    <w:rsid w:val="00A94B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link w:val="HlavikaChar"/>
    <w:uiPriority w:val="99"/>
    <w:unhideWhenUsed/>
    <w:rsid w:val="00A94B49"/>
    <w:pPr>
      <w:tabs>
        <w:tab w:val="center" w:pos="4536"/>
        <w:tab w:val="right" w:pos="9072"/>
      </w:tabs>
      <w:spacing w:after="0" w:line="240" w:lineRule="auto"/>
    </w:pPr>
  </w:style>
  <w:style w:type="paragraph" w:styleId="Textkomentra">
    <w:name w:val="annotation text"/>
    <w:link w:val="TextkomentraChar"/>
    <w:uiPriority w:val="99"/>
    <w:unhideWhenUsed/>
    <w:qFormat/>
    <w:rsid w:val="00B861D9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B861D9"/>
    <w:rPr>
      <w:b/>
      <w:bCs/>
    </w:rPr>
  </w:style>
  <w:style w:type="paragraph" w:styleId="Textpoznmkypodiarou">
    <w:name w:val="footnote text"/>
    <w:link w:val="TextpoznmkypodiarouChar"/>
    <w:uiPriority w:val="99"/>
    <w:semiHidden/>
    <w:unhideWhenUsed/>
    <w:rsid w:val="00A941E9"/>
    <w:pPr>
      <w:spacing w:after="0" w:line="240" w:lineRule="auto"/>
    </w:pPr>
    <w:rPr>
      <w:sz w:val="20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8047F2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37E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storiaeuropeana.eu/" TargetMode="External"/><Relationship Id="rId13" Type="http://schemas.openxmlformats.org/officeDocument/2006/relationships/image" Target="media/image5.png"/><Relationship Id="rId18" Type="http://schemas.openxmlformats.org/officeDocument/2006/relationships/hyperlink" Target="mailto:historia.europeana@phil.muni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historia.europeana@phil.muni.cz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historia.europeana@phil.muni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hil.muni.cz/journals/index.php/studia-historica-brunensia/pages/view/authors" TargetMode="External"/><Relationship Id="rId20" Type="http://schemas.openxmlformats.org/officeDocument/2006/relationships/hyperlink" Target="mailto:historia.europeana@phil.muni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hil.muni.cz/journals/index.php/studia-historica-brunensia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forms.gle/CuGyLB8DMsSEbtCd9" TargetMode="External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cEymzj0eFPdtC0neFY/FhU2+8g==">CgMxLjAyCGguZ2pkZ3hzMgloLjMwajB6bGw4AHIhMURVY2JXUXF4dlJvdDZXaDBoa1hrNzFVUUVkWFVkRHhu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1094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Pokorný Jiří</dc:creator>
  <cp:lastModifiedBy>anonym</cp:lastModifiedBy>
  <cp:revision>5</cp:revision>
  <dcterms:created xsi:type="dcterms:W3CDTF">2022-06-24T11:43:00Z</dcterms:created>
  <dcterms:modified xsi:type="dcterms:W3CDTF">2025-08-17T13:18:00Z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